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C41B" w14:textId="77777777" w:rsidR="003D7F0B" w:rsidRDefault="003D7F0B"/>
    <w:p w14:paraId="02FB1A27" w14:textId="77777777" w:rsidR="003D7F0B" w:rsidRPr="003D7F0B" w:rsidRDefault="003D7F0B" w:rsidP="003D7F0B">
      <w:pPr>
        <w:rPr>
          <w:b/>
          <w:bCs/>
        </w:rPr>
      </w:pPr>
      <w:r w:rsidRPr="003D7F0B">
        <w:rPr>
          <w:b/>
          <w:bCs/>
        </w:rPr>
        <w:t>I. Compliance Filing Dockets &amp; Naming Conventions</w:t>
      </w:r>
    </w:p>
    <w:p w14:paraId="7626FDDE" w14:textId="77777777" w:rsidR="003D7F0B" w:rsidRPr="003D7F0B" w:rsidRDefault="003D7F0B" w:rsidP="003D7F0B">
      <w:pPr>
        <w:numPr>
          <w:ilvl w:val="0"/>
          <w:numId w:val="1"/>
        </w:numPr>
      </w:pPr>
      <w:r w:rsidRPr="003D7F0B">
        <w:rPr>
          <w:b/>
          <w:bCs/>
        </w:rPr>
        <w:t>Annual Compliance Dockets</w:t>
      </w:r>
    </w:p>
    <w:p w14:paraId="50E6143A" w14:textId="77777777" w:rsidR="003D7F0B" w:rsidRPr="003D7F0B" w:rsidRDefault="003D7F0B" w:rsidP="003D7F0B">
      <w:pPr>
        <w:numPr>
          <w:ilvl w:val="1"/>
          <w:numId w:val="1"/>
        </w:numPr>
      </w:pPr>
      <w:r w:rsidRPr="003D7F0B">
        <w:t xml:space="preserve">Each year, the Commission will open a </w:t>
      </w:r>
      <w:r w:rsidRPr="003D7F0B">
        <w:rPr>
          <w:b/>
          <w:bCs/>
        </w:rPr>
        <w:t>separate docket for each compliance filing required by Commission rule</w:t>
      </w:r>
      <w:r w:rsidRPr="003D7F0B">
        <w:t>.</w:t>
      </w:r>
    </w:p>
    <w:p w14:paraId="692A317E" w14:textId="03106646" w:rsidR="006721B6" w:rsidRDefault="003D7F0B" w:rsidP="006721B6">
      <w:pPr>
        <w:numPr>
          <w:ilvl w:val="1"/>
          <w:numId w:val="1"/>
        </w:numPr>
      </w:pPr>
      <w:r w:rsidRPr="003D7F0B">
        <w:t xml:space="preserve">All regulated entities </w:t>
      </w:r>
      <w:r w:rsidRPr="003D7F0B">
        <w:rPr>
          <w:b/>
          <w:bCs/>
        </w:rPr>
        <w:t>must file the required compliance filing into the corresponding compliance docket</w:t>
      </w:r>
      <w:r w:rsidRPr="003D7F0B">
        <w:t xml:space="preserve"> designated for that rule.</w:t>
      </w:r>
    </w:p>
    <w:p w14:paraId="4D4FE24C" w14:textId="0D2C590D" w:rsidR="006721B6" w:rsidRPr="00A828A9" w:rsidRDefault="006721B6" w:rsidP="006721B6">
      <w:pPr>
        <w:numPr>
          <w:ilvl w:val="1"/>
          <w:numId w:val="1"/>
        </w:numPr>
        <w:rPr>
          <w:u w:val="single"/>
        </w:rPr>
      </w:pPr>
      <w:r w:rsidRPr="00A828A9">
        <w:rPr>
          <w:u w:val="single"/>
        </w:rPr>
        <w:t>Note for this year only: Note that you may file the remaining 2025 compliance filings in the appropriate 2026 docket, for this year only, due to the new system implementation.</w:t>
      </w:r>
    </w:p>
    <w:p w14:paraId="736F80BA" w14:textId="77777777" w:rsidR="003D7F0B" w:rsidRPr="003D7F0B" w:rsidRDefault="003D7F0B" w:rsidP="003D7F0B">
      <w:pPr>
        <w:numPr>
          <w:ilvl w:val="0"/>
          <w:numId w:val="1"/>
        </w:numPr>
      </w:pPr>
      <w:r w:rsidRPr="003D7F0B">
        <w:rPr>
          <w:b/>
          <w:bCs/>
        </w:rPr>
        <w:t>Example of a Compliance Docket Title</w:t>
      </w:r>
    </w:p>
    <w:p w14:paraId="17AA47F3" w14:textId="77777777" w:rsidR="003D7F0B" w:rsidRPr="003D7F0B" w:rsidRDefault="003D7F0B" w:rsidP="003D7F0B">
      <w:pPr>
        <w:numPr>
          <w:ilvl w:val="1"/>
          <w:numId w:val="1"/>
        </w:numPr>
      </w:pPr>
      <w:r w:rsidRPr="003D7F0B">
        <w:t>An example of a compliance filing docket title is:</w:t>
      </w:r>
    </w:p>
    <w:p w14:paraId="13C94D63" w14:textId="77777777" w:rsidR="003D7F0B" w:rsidRPr="003D7F0B" w:rsidRDefault="003D7F0B" w:rsidP="003D7F0B">
      <w:pPr>
        <w:pStyle w:val="ListParagraph"/>
        <w:rPr>
          <w:b/>
          <w:bCs/>
        </w:rPr>
      </w:pPr>
      <w:r w:rsidRPr="003D7F0B">
        <w:rPr>
          <w:b/>
          <w:bCs/>
        </w:rPr>
        <w:t>(i.e. 26-0000016; IN THE MATTER OF 2026 COMPLIANCE FILINGS PURSUANT TO 17.9.550 NMAC, FUEL AND PURCHASED POWER COST ADJUSTMENTS CLAUSES FOR ELECTRIC UTILITIES</w:t>
      </w:r>
    </w:p>
    <w:p w14:paraId="0A9443FA" w14:textId="77777777" w:rsidR="003D7F0B" w:rsidRPr="003D7F0B" w:rsidRDefault="003D7F0B" w:rsidP="003D7F0B">
      <w:pPr>
        <w:numPr>
          <w:ilvl w:val="1"/>
          <w:numId w:val="1"/>
        </w:numPr>
      </w:pPr>
      <w:r w:rsidRPr="003D7F0B">
        <w:t xml:space="preserve">Regulated entities are responsible for ensuring filings are submitted into the </w:t>
      </w:r>
      <w:r w:rsidRPr="003D7F0B">
        <w:rPr>
          <w:b/>
          <w:bCs/>
        </w:rPr>
        <w:t>correct compliance docket</w:t>
      </w:r>
      <w:r w:rsidRPr="003D7F0B">
        <w:t xml:space="preserve"> for the applicable rule and year.</w:t>
      </w:r>
    </w:p>
    <w:p w14:paraId="750093E0" w14:textId="77777777" w:rsidR="003D7F0B" w:rsidRPr="003D7F0B" w:rsidRDefault="003D7F0B" w:rsidP="003D7F0B">
      <w:pPr>
        <w:numPr>
          <w:ilvl w:val="0"/>
          <w:numId w:val="1"/>
        </w:numPr>
      </w:pPr>
      <w:r w:rsidRPr="003D7F0B">
        <w:rPr>
          <w:b/>
          <w:bCs/>
        </w:rPr>
        <w:t>Published Docket List</w:t>
      </w:r>
    </w:p>
    <w:p w14:paraId="3235F236" w14:textId="77777777" w:rsidR="003D7F0B" w:rsidRPr="003D7F0B" w:rsidRDefault="003D7F0B" w:rsidP="003D7F0B">
      <w:pPr>
        <w:numPr>
          <w:ilvl w:val="1"/>
          <w:numId w:val="1"/>
        </w:numPr>
      </w:pPr>
      <w:r w:rsidRPr="003D7F0B">
        <w:t xml:space="preserve">The Commission will </w:t>
      </w:r>
      <w:r w:rsidRPr="003D7F0B">
        <w:rPr>
          <w:b/>
          <w:bCs/>
        </w:rPr>
        <w:t>annually publish a list of all compliance filing dockets and their corresponding docket numbers</w:t>
      </w:r>
      <w:r w:rsidRPr="003D7F0B">
        <w:t xml:space="preserve"> on the </w:t>
      </w:r>
      <w:r w:rsidRPr="003D7F0B">
        <w:rPr>
          <w:b/>
          <w:bCs/>
        </w:rPr>
        <w:t>PRCe360 FAQ page</w:t>
      </w:r>
      <w:r w:rsidRPr="003D7F0B">
        <w:t>.</w:t>
      </w:r>
    </w:p>
    <w:p w14:paraId="5A99C294" w14:textId="77777777" w:rsidR="003D7F0B" w:rsidRPr="003D7F0B" w:rsidRDefault="003D7F0B" w:rsidP="003D7F0B">
      <w:pPr>
        <w:numPr>
          <w:ilvl w:val="0"/>
          <w:numId w:val="1"/>
        </w:numPr>
      </w:pPr>
      <w:r w:rsidRPr="003D7F0B">
        <w:rPr>
          <w:b/>
          <w:bCs/>
        </w:rPr>
        <w:t>Required Naming Conventions</w:t>
      </w:r>
    </w:p>
    <w:p w14:paraId="57CA941C" w14:textId="77777777" w:rsidR="003D7F0B" w:rsidRPr="003D7F0B" w:rsidRDefault="003D7F0B" w:rsidP="003D7F0B">
      <w:pPr>
        <w:numPr>
          <w:ilvl w:val="1"/>
          <w:numId w:val="1"/>
        </w:numPr>
      </w:pPr>
      <w:r w:rsidRPr="003D7F0B">
        <w:t xml:space="preserve">All compliance filings </w:t>
      </w:r>
      <w:r w:rsidRPr="003D7F0B">
        <w:rPr>
          <w:b/>
          <w:bCs/>
        </w:rPr>
        <w:t>must use the Commission-established naming convention</w:t>
      </w:r>
      <w:r w:rsidRPr="003D7F0B">
        <w:t>, as published:</w:t>
      </w:r>
    </w:p>
    <w:p w14:paraId="11A0E90A" w14:textId="77777777" w:rsidR="003D7F0B" w:rsidRPr="003D7F0B" w:rsidRDefault="003D7F0B" w:rsidP="003D7F0B">
      <w:pPr>
        <w:numPr>
          <w:ilvl w:val="2"/>
          <w:numId w:val="1"/>
        </w:numPr>
      </w:pPr>
      <w:r w:rsidRPr="003D7F0B">
        <w:t>In the attached naming convention document, and</w:t>
      </w:r>
    </w:p>
    <w:p w14:paraId="6518E991" w14:textId="77777777" w:rsidR="003D7F0B" w:rsidRPr="003D7F0B" w:rsidRDefault="003D7F0B" w:rsidP="003D7F0B">
      <w:pPr>
        <w:numPr>
          <w:ilvl w:val="2"/>
          <w:numId w:val="1"/>
        </w:numPr>
      </w:pPr>
      <w:r w:rsidRPr="003D7F0B">
        <w:t xml:space="preserve">On the </w:t>
      </w:r>
      <w:r w:rsidRPr="003D7F0B">
        <w:rPr>
          <w:b/>
          <w:bCs/>
        </w:rPr>
        <w:t>PRCe360 FAQ page</w:t>
      </w:r>
      <w:r w:rsidRPr="003D7F0B">
        <w:t>.</w:t>
      </w:r>
    </w:p>
    <w:p w14:paraId="07C53DB7" w14:textId="77777777" w:rsidR="003D7F0B" w:rsidRPr="003D7F0B" w:rsidRDefault="003D7F0B" w:rsidP="003D7F0B">
      <w:pPr>
        <w:numPr>
          <w:ilvl w:val="0"/>
          <w:numId w:val="1"/>
        </w:numPr>
      </w:pPr>
      <w:r w:rsidRPr="003D7F0B">
        <w:rPr>
          <w:b/>
          <w:bCs/>
        </w:rPr>
        <w:t>Rejection of Improper Filings</w:t>
      </w:r>
    </w:p>
    <w:p w14:paraId="34DD4762" w14:textId="77777777" w:rsidR="003D7F0B" w:rsidRPr="003D7F0B" w:rsidRDefault="003D7F0B" w:rsidP="003D7F0B">
      <w:pPr>
        <w:numPr>
          <w:ilvl w:val="1"/>
          <w:numId w:val="1"/>
        </w:numPr>
      </w:pPr>
      <w:r w:rsidRPr="003D7F0B">
        <w:t>Any submission that:</w:t>
      </w:r>
    </w:p>
    <w:p w14:paraId="28085365" w14:textId="77777777" w:rsidR="003D7F0B" w:rsidRPr="003D7F0B" w:rsidRDefault="003D7F0B" w:rsidP="003D7F0B">
      <w:pPr>
        <w:numPr>
          <w:ilvl w:val="2"/>
          <w:numId w:val="1"/>
        </w:numPr>
      </w:pPr>
      <w:r w:rsidRPr="003D7F0B">
        <w:t xml:space="preserve">Is </w:t>
      </w:r>
      <w:r w:rsidRPr="003D7F0B">
        <w:rPr>
          <w:b/>
          <w:bCs/>
        </w:rPr>
        <w:t>not filed in the correct compliance docket</w:t>
      </w:r>
      <w:r w:rsidRPr="003D7F0B">
        <w:t>, or</w:t>
      </w:r>
    </w:p>
    <w:p w14:paraId="62740688" w14:textId="77777777" w:rsidR="003D7F0B" w:rsidRPr="003D7F0B" w:rsidRDefault="003D7F0B" w:rsidP="003D7F0B">
      <w:pPr>
        <w:numPr>
          <w:ilvl w:val="2"/>
          <w:numId w:val="1"/>
        </w:numPr>
      </w:pPr>
      <w:r w:rsidRPr="003D7F0B">
        <w:rPr>
          <w:b/>
          <w:bCs/>
        </w:rPr>
        <w:lastRenderedPageBreak/>
        <w:t>Does not conform to the required naming convention</w:t>
      </w:r>
    </w:p>
    <w:p w14:paraId="182B7C21" w14:textId="77777777" w:rsidR="003D7F0B" w:rsidRPr="003D7F0B" w:rsidRDefault="003D7F0B" w:rsidP="003D7F0B">
      <w:pPr>
        <w:numPr>
          <w:ilvl w:val="1"/>
          <w:numId w:val="1"/>
        </w:numPr>
      </w:pPr>
      <w:r w:rsidRPr="003D7F0B">
        <w:rPr>
          <w:b/>
          <w:bCs/>
        </w:rPr>
        <w:t>Will be rejected</w:t>
      </w:r>
      <w:r w:rsidRPr="003D7F0B">
        <w:t>.</w:t>
      </w:r>
    </w:p>
    <w:p w14:paraId="5745C6F8" w14:textId="77777777" w:rsidR="003D7F0B" w:rsidRPr="003D7F0B" w:rsidRDefault="003D7F0B" w:rsidP="003D7F0B">
      <w:pPr>
        <w:rPr>
          <w:b/>
          <w:bCs/>
        </w:rPr>
      </w:pPr>
      <w:r w:rsidRPr="003D7F0B">
        <w:rPr>
          <w:b/>
          <w:bCs/>
        </w:rPr>
        <w:t>II. Telecommunication Tariffs</w:t>
      </w:r>
    </w:p>
    <w:p w14:paraId="2AEEEECA" w14:textId="77777777" w:rsidR="003D7F0B" w:rsidRPr="003D7F0B" w:rsidRDefault="003D7F0B" w:rsidP="003D7F0B">
      <w:pPr>
        <w:numPr>
          <w:ilvl w:val="0"/>
          <w:numId w:val="2"/>
        </w:numPr>
      </w:pPr>
      <w:r w:rsidRPr="003D7F0B">
        <w:rPr>
          <w:b/>
          <w:bCs/>
        </w:rPr>
        <w:t>Annual Telecommunication Tariff Docket</w:t>
      </w:r>
    </w:p>
    <w:p w14:paraId="2B4B74EE" w14:textId="77777777" w:rsidR="003D7F0B" w:rsidRPr="003D7F0B" w:rsidRDefault="003D7F0B" w:rsidP="003D7F0B">
      <w:pPr>
        <w:numPr>
          <w:ilvl w:val="1"/>
          <w:numId w:val="2"/>
        </w:numPr>
      </w:pPr>
      <w:r w:rsidRPr="003D7F0B">
        <w:t xml:space="preserve">Each year, the Commission will open </w:t>
      </w:r>
      <w:r w:rsidRPr="003D7F0B">
        <w:rPr>
          <w:b/>
          <w:bCs/>
        </w:rPr>
        <w:t>one docket</w:t>
      </w:r>
      <w:r w:rsidRPr="003D7F0B">
        <w:t xml:space="preserve"> to house </w:t>
      </w:r>
      <w:r w:rsidRPr="003D7F0B">
        <w:rPr>
          <w:b/>
          <w:bCs/>
        </w:rPr>
        <w:t>all telecommunication tariffs and tariff revisions</w:t>
      </w:r>
      <w:r w:rsidRPr="003D7F0B">
        <w:t xml:space="preserve"> for that year.</w:t>
      </w:r>
    </w:p>
    <w:p w14:paraId="08D1951F" w14:textId="77777777" w:rsidR="003D7F0B" w:rsidRPr="003D7F0B" w:rsidRDefault="003D7F0B" w:rsidP="003D7F0B">
      <w:pPr>
        <w:numPr>
          <w:ilvl w:val="1"/>
          <w:numId w:val="2"/>
        </w:numPr>
      </w:pPr>
      <w:r w:rsidRPr="003D7F0B">
        <w:t>The docket will be titled:</w:t>
      </w:r>
    </w:p>
    <w:p w14:paraId="6B5284C0" w14:textId="77777777" w:rsidR="003D7F0B" w:rsidRDefault="003D7F0B" w:rsidP="003D7F0B">
      <w:pPr>
        <w:rPr>
          <w:b/>
          <w:bCs/>
        </w:rPr>
      </w:pPr>
      <w:r w:rsidRPr="003D7F0B">
        <w:rPr>
          <w:b/>
          <w:bCs/>
        </w:rPr>
        <w:t>“IN THE MATTER OF FILING TELECOMMUNICATIONS TARIFF FILINGS FOR [YEAR]”</w:t>
      </w:r>
    </w:p>
    <w:p w14:paraId="199C4E4F" w14:textId="6706DB4B" w:rsidR="00265D9F" w:rsidRPr="003D7F0B" w:rsidRDefault="00265D9F" w:rsidP="003D7F0B">
      <w:r w:rsidRPr="00265D9F">
        <w:t xml:space="preserve"> [Company Name] Tariff No., Tariff Name and Revision, to include Transmittal</w:t>
      </w:r>
    </w:p>
    <w:p w14:paraId="57BBA652" w14:textId="77777777" w:rsidR="003D7F0B" w:rsidRPr="003D7F0B" w:rsidRDefault="003D7F0B" w:rsidP="003D7F0B">
      <w:pPr>
        <w:numPr>
          <w:ilvl w:val="0"/>
          <w:numId w:val="2"/>
        </w:numPr>
      </w:pPr>
      <w:r w:rsidRPr="003D7F0B">
        <w:rPr>
          <w:b/>
          <w:bCs/>
        </w:rPr>
        <w:t>Published Docket Number</w:t>
      </w:r>
    </w:p>
    <w:p w14:paraId="54E87945" w14:textId="77777777" w:rsidR="003D7F0B" w:rsidRPr="003D7F0B" w:rsidRDefault="003D7F0B" w:rsidP="003D7F0B">
      <w:pPr>
        <w:numPr>
          <w:ilvl w:val="1"/>
          <w:numId w:val="2"/>
        </w:numPr>
      </w:pPr>
      <w:r w:rsidRPr="003D7F0B">
        <w:t xml:space="preserve">The Commission will </w:t>
      </w:r>
      <w:r w:rsidRPr="003D7F0B">
        <w:rPr>
          <w:b/>
          <w:bCs/>
        </w:rPr>
        <w:t>annually publish the corresponding docket number</w:t>
      </w:r>
      <w:r w:rsidRPr="003D7F0B">
        <w:t xml:space="preserve"> for the telecommunication tariff docket on the </w:t>
      </w:r>
      <w:r w:rsidRPr="003D7F0B">
        <w:rPr>
          <w:b/>
          <w:bCs/>
        </w:rPr>
        <w:t>PRCe360 FAQ page</w:t>
      </w:r>
      <w:r w:rsidRPr="003D7F0B">
        <w:t>.</w:t>
      </w:r>
    </w:p>
    <w:p w14:paraId="758131F7" w14:textId="77777777" w:rsidR="003D7F0B" w:rsidRPr="003D7F0B" w:rsidRDefault="003D7F0B" w:rsidP="003D7F0B">
      <w:pPr>
        <w:numPr>
          <w:ilvl w:val="0"/>
          <w:numId w:val="2"/>
        </w:numPr>
      </w:pPr>
      <w:r w:rsidRPr="003D7F0B">
        <w:rPr>
          <w:b/>
          <w:bCs/>
        </w:rPr>
        <w:t>Filing Requirements</w:t>
      </w:r>
    </w:p>
    <w:p w14:paraId="7866D221" w14:textId="77777777" w:rsidR="003D7F0B" w:rsidRPr="003D7F0B" w:rsidRDefault="003D7F0B" w:rsidP="003D7F0B">
      <w:pPr>
        <w:numPr>
          <w:ilvl w:val="1"/>
          <w:numId w:val="2"/>
        </w:numPr>
      </w:pPr>
      <w:r w:rsidRPr="003D7F0B">
        <w:t xml:space="preserve">All regulated telecommunication companies </w:t>
      </w:r>
      <w:r w:rsidRPr="003D7F0B">
        <w:rPr>
          <w:b/>
          <w:bCs/>
        </w:rPr>
        <w:t>must file all telecommunication tariffs and tariff revisions for the applicable year into the designated telecommunication tariff docket</w:t>
      </w:r>
      <w:r w:rsidRPr="003D7F0B">
        <w:t>.</w:t>
      </w:r>
    </w:p>
    <w:p w14:paraId="1B983081" w14:textId="77777777" w:rsidR="003D7F0B" w:rsidRPr="003D7F0B" w:rsidRDefault="003D7F0B" w:rsidP="003D7F0B">
      <w:pPr>
        <w:numPr>
          <w:ilvl w:val="0"/>
          <w:numId w:val="2"/>
        </w:numPr>
      </w:pPr>
      <w:r w:rsidRPr="003D7F0B">
        <w:rPr>
          <w:b/>
          <w:bCs/>
        </w:rPr>
        <w:t>Staff Analysis</w:t>
      </w:r>
    </w:p>
    <w:p w14:paraId="388989B9" w14:textId="77777777" w:rsidR="003D7F0B" w:rsidRPr="003D7F0B" w:rsidRDefault="003D7F0B" w:rsidP="003D7F0B">
      <w:pPr>
        <w:numPr>
          <w:ilvl w:val="1"/>
          <w:numId w:val="2"/>
        </w:numPr>
      </w:pPr>
      <w:r w:rsidRPr="003D7F0B">
        <w:t xml:space="preserve">Telecommunication staff’s </w:t>
      </w:r>
      <w:r w:rsidRPr="003D7F0B">
        <w:rPr>
          <w:b/>
          <w:bCs/>
        </w:rPr>
        <w:t>analysis for each tariff</w:t>
      </w:r>
      <w:r w:rsidRPr="003D7F0B">
        <w:t xml:space="preserve"> will also be </w:t>
      </w:r>
      <w:r w:rsidRPr="003D7F0B">
        <w:rPr>
          <w:b/>
          <w:bCs/>
        </w:rPr>
        <w:t>filed into the same telecommunication tariff docket</w:t>
      </w:r>
      <w:r w:rsidRPr="003D7F0B">
        <w:t>.</w:t>
      </w:r>
    </w:p>
    <w:p w14:paraId="0F755547" w14:textId="77777777" w:rsidR="003D7F0B" w:rsidRPr="003D7F0B" w:rsidRDefault="003D7F0B" w:rsidP="003D7F0B"/>
    <w:p w14:paraId="2B900C77" w14:textId="77777777" w:rsidR="003D7F0B" w:rsidRDefault="003D7F0B"/>
    <w:sectPr w:rsidR="003D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B6875"/>
    <w:multiLevelType w:val="multilevel"/>
    <w:tmpl w:val="241E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5E236B"/>
    <w:multiLevelType w:val="multilevel"/>
    <w:tmpl w:val="16761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383683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386952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0B"/>
    <w:rsid w:val="00265D9F"/>
    <w:rsid w:val="003D7F0B"/>
    <w:rsid w:val="004D4882"/>
    <w:rsid w:val="005D123A"/>
    <w:rsid w:val="006721B6"/>
    <w:rsid w:val="00A828A9"/>
    <w:rsid w:val="00B7545F"/>
    <w:rsid w:val="00E9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AD84"/>
  <w15:chartTrackingRefBased/>
  <w15:docId w15:val="{6C0768F2-EA14-4CF7-A718-97AD6F7C6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1919</Characters>
  <Application>Microsoft Office Word</Application>
  <DocSecurity>0</DocSecurity>
  <Lines>49</Lines>
  <Paragraphs>36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Herrera, Angelique , PRC</dc:creator>
  <cp:keywords/>
  <dc:description/>
  <cp:lastModifiedBy>Herrera, Angelique , PRC</cp:lastModifiedBy>
  <cp:revision>4</cp:revision>
  <dcterms:created xsi:type="dcterms:W3CDTF">2026-02-02T18:26:00Z</dcterms:created>
  <dcterms:modified xsi:type="dcterms:W3CDTF">2026-02-02T18:43:00Z</dcterms:modified>
</cp:coreProperties>
</file>